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16D0E">
      <w:pPr>
        <w:spacing w:before="1800"/>
        <w:jc w:val="both"/>
        <w:rPr>
          <w:rFonts w:ascii="宋体" w:hAnsi="宋体" w:eastAsia="宋体" w:cs="宋体"/>
          <w:b/>
          <w:bCs/>
          <w:sz w:val="21"/>
          <w:szCs w:val="21"/>
        </w:rPr>
      </w:pPr>
    </w:p>
    <w:p w14:paraId="01AA829A">
      <w:pPr>
        <w:spacing w:before="1800"/>
        <w:ind w:firstLine="440" w:firstLineChars="200"/>
        <w:jc w:val="both"/>
        <w:rPr>
          <w:sz w:val="22"/>
          <w:szCs w:val="21"/>
        </w:rPr>
      </w:pPr>
      <w:r>
        <w:rPr>
          <w:sz w:val="22"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1499870</wp:posOffset>
            </wp:positionH>
            <wp:positionV relativeFrom="page">
              <wp:posOffset>579755</wp:posOffset>
            </wp:positionV>
            <wp:extent cx="4245610" cy="1686560"/>
            <wp:effectExtent l="0" t="0" r="0" b="0"/>
            <wp:wrapNone/>
            <wp:docPr id="8809259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925926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554"/>
                    <a:stretch>
                      <a:fillRect/>
                    </a:stretch>
                  </pic:blipFill>
                  <pic:spPr>
                    <a:xfrm>
                      <a:off x="0" y="0"/>
                      <a:ext cx="4245610" cy="168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bCs/>
          <w:sz w:val="60"/>
          <w:szCs w:val="60"/>
        </w:rPr>
        <w:t>大数据</w:t>
      </w:r>
      <w:r>
        <w:rPr>
          <w:rFonts w:hint="eastAsia" w:ascii="宋体" w:hAnsi="宋体" w:eastAsia="宋体" w:cs="宋体"/>
          <w:b/>
          <w:bCs/>
          <w:sz w:val="60"/>
          <w:szCs w:val="60"/>
        </w:rPr>
        <w:t>管理与应用课程设计报告</w:t>
      </w:r>
    </w:p>
    <w:p w14:paraId="6E0C4A9D">
      <w:pPr>
        <w:spacing w:before="400"/>
      </w:pPr>
    </w:p>
    <w:p w14:paraId="5D2BC783">
      <w:pPr>
        <w:spacing w:before="400"/>
      </w:pPr>
    </w:p>
    <w:p w14:paraId="768719DC">
      <w:pPr>
        <w:spacing w:before="400"/>
      </w:pPr>
    </w:p>
    <w:p w14:paraId="23584DEF">
      <w:pPr>
        <w:spacing w:before="60" w:after="60"/>
        <w:ind w:firstLine="2880" w:firstLineChars="800"/>
        <w:rPr>
          <w:sz w:val="32"/>
          <w:szCs w:val="32"/>
        </w:rPr>
      </w:pPr>
      <w:r>
        <w:rPr>
          <w:rFonts w:ascii="宋体" w:hAnsi="宋体" w:eastAsia="宋体" w:cs="宋体"/>
          <w:sz w:val="36"/>
          <w:szCs w:val="36"/>
        </w:rPr>
        <w:t>学校：天津科技大学</w:t>
      </w:r>
    </w:p>
    <w:p w14:paraId="0DB29654">
      <w:pPr>
        <w:spacing w:before="60" w:after="60"/>
        <w:ind w:firstLine="2880" w:firstLineChars="800"/>
        <w:rPr>
          <w:sz w:val="32"/>
          <w:szCs w:val="32"/>
        </w:rPr>
      </w:pPr>
      <w:r>
        <w:rPr>
          <w:rFonts w:ascii="宋体" w:hAnsi="宋体" w:eastAsia="宋体" w:cs="宋体"/>
          <w:sz w:val="36"/>
          <w:szCs w:val="36"/>
        </w:rPr>
        <w:t>专业：</w:t>
      </w:r>
      <w:r>
        <w:rPr>
          <w:rFonts w:hint="eastAsia" w:ascii="宋体" w:hAnsi="宋体" w:eastAsia="宋体" w:cs="宋体"/>
          <w:sz w:val="36"/>
          <w:szCs w:val="36"/>
        </w:rPr>
        <w:t>大数据管理与应用</w:t>
      </w:r>
    </w:p>
    <w:p w14:paraId="173DD974">
      <w:pPr>
        <w:spacing w:before="60" w:after="60"/>
        <w:ind w:firstLine="2880" w:firstLineChars="800"/>
        <w:rPr>
          <w:rFonts w:hint="default" w:eastAsia="宋体"/>
          <w:sz w:val="32"/>
          <w:szCs w:val="32"/>
          <w:lang w:val="en-US" w:eastAsia="zh-CN"/>
        </w:rPr>
      </w:pPr>
      <w:r>
        <w:rPr>
          <w:rFonts w:ascii="宋体" w:hAnsi="宋体" w:eastAsia="宋体" w:cs="宋体"/>
          <w:sz w:val="36"/>
          <w:szCs w:val="36"/>
        </w:rPr>
        <w:t>学号：</w:t>
      </w:r>
    </w:p>
    <w:p w14:paraId="3ACBEED0">
      <w:pPr>
        <w:spacing w:before="60" w:after="60"/>
        <w:ind w:firstLine="2880" w:firstLineChars="800"/>
        <w:rPr>
          <w:rFonts w:hint="default" w:eastAsia="宋体"/>
          <w:sz w:val="32"/>
          <w:szCs w:val="32"/>
          <w:lang w:val="en-US" w:eastAsia="zh-CN"/>
        </w:rPr>
      </w:pPr>
      <w:r>
        <w:rPr>
          <w:rFonts w:ascii="宋体" w:hAnsi="宋体" w:eastAsia="宋体" w:cs="宋体"/>
          <w:sz w:val="36"/>
          <w:szCs w:val="36"/>
        </w:rPr>
        <w:t>姓名：</w:t>
      </w:r>
      <w:r>
        <w:rPr>
          <w:rFonts w:hint="eastAsia" w:cs="宋体"/>
          <w:sz w:val="36"/>
          <w:szCs w:val="36"/>
          <w:lang w:val="en-US" w:eastAsia="zh-CN"/>
        </w:rPr>
        <w:t>莫凡佳</w:t>
      </w:r>
    </w:p>
    <w:p w14:paraId="4D6F92CE">
      <w:pPr>
        <w:spacing w:before="60" w:after="60"/>
        <w:ind w:firstLine="2880" w:firstLineChars="800"/>
        <w:rPr>
          <w:sz w:val="32"/>
          <w:szCs w:val="32"/>
        </w:rPr>
      </w:pPr>
      <w:r>
        <w:rPr>
          <w:rFonts w:ascii="宋体" w:hAnsi="宋体" w:eastAsia="宋体" w:cs="宋体"/>
          <w:sz w:val="36"/>
          <w:szCs w:val="36"/>
        </w:rPr>
        <w:t>指导老师：</w:t>
      </w:r>
      <w:r>
        <w:rPr>
          <w:rFonts w:hint="eastAsia" w:ascii="宋体" w:hAnsi="宋体" w:eastAsia="宋体" w:cs="宋体"/>
          <w:sz w:val="36"/>
          <w:szCs w:val="36"/>
        </w:rPr>
        <w:t>武开</w:t>
      </w:r>
      <w:r>
        <w:rPr>
          <w:sz w:val="32"/>
          <w:szCs w:val="32"/>
        </w:rPr>
        <w:t xml:space="preserve"> </w:t>
      </w:r>
    </w:p>
    <w:p w14:paraId="4C5FCC0A">
      <w:pPr>
        <w:spacing w:before="60" w:after="60"/>
        <w:ind w:firstLine="2880" w:firstLineChars="800"/>
        <w:rPr>
          <w:sz w:val="32"/>
          <w:szCs w:val="32"/>
        </w:rPr>
      </w:pPr>
      <w:r>
        <w:rPr>
          <w:rFonts w:ascii="宋体" w:hAnsi="宋体" w:eastAsia="宋体" w:cs="宋体"/>
          <w:sz w:val="36"/>
          <w:szCs w:val="36"/>
        </w:rPr>
        <w:t>日期：</w:t>
      </w:r>
      <w:r>
        <w:rPr>
          <w:rFonts w:hint="eastAsia" w:ascii="宋体" w:hAnsi="宋体" w:eastAsia="宋体" w:cs="宋体"/>
          <w:sz w:val="36"/>
          <w:szCs w:val="36"/>
        </w:rPr>
        <w:t>2026年7月</w:t>
      </w:r>
      <w:r>
        <w:rPr>
          <w:rFonts w:hint="eastAsia" w:cs="宋体"/>
          <w:sz w:val="36"/>
          <w:szCs w:val="36"/>
          <w:lang w:val="en-US" w:eastAsia="zh-CN"/>
        </w:rPr>
        <w:t>5</w:t>
      </w:r>
      <w:r>
        <w:rPr>
          <w:rFonts w:hint="eastAsia" w:ascii="宋体" w:hAnsi="宋体" w:eastAsia="宋体" w:cs="宋体"/>
          <w:sz w:val="36"/>
          <w:szCs w:val="36"/>
        </w:rPr>
        <w:t>日</w:t>
      </w:r>
    </w:p>
    <w:p w14:paraId="4FE26179"/>
    <w:p w14:paraId="5BDDE10D"/>
    <w:p w14:paraId="5A0DD358"/>
    <w:p w14:paraId="143CF3FA">
      <w:bookmarkStart w:id="0" w:name="_GoBack"/>
      <w:bookmarkEnd w:id="0"/>
    </w:p>
    <w:p w14:paraId="5E204EFE">
      <w:pPr>
        <w:outlineLvl w:val="0"/>
      </w:pPr>
      <w:r>
        <w:rPr>
          <w:rFonts w:ascii="宋体" w:hAnsi="宋体" w:eastAsia="宋体"/>
          <w:b w:val="0"/>
          <w:sz w:val="24"/>
        </w:rPr>
        <w:t>二、自主实践选题</w:t>
      </w:r>
    </w:p>
    <w:p w14:paraId="78213CEA">
      <w:r>
        <w:rPr>
          <w:rFonts w:ascii="宋体" w:hAnsi="宋体" w:eastAsia="宋体"/>
          <w:b w:val="0"/>
          <w:sz w:val="24"/>
        </w:rPr>
        <w:t xml:space="preserve">    2.1 选题</w:t>
      </w:r>
    </w:p>
    <w:p w14:paraId="1D921971">
      <w:r>
        <w:rPr>
          <w:rFonts w:ascii="宋体" w:hAnsi="宋体" w:eastAsia="宋体"/>
          <w:b w:val="0"/>
          <w:sz w:val="24"/>
        </w:rPr>
        <w:t xml:space="preserve">    2.2 项目目标</w:t>
      </w:r>
    </w:p>
    <w:p w14:paraId="55CF7520">
      <w:r>
        <w:rPr>
          <w:rFonts w:ascii="宋体" w:hAnsi="宋体" w:eastAsia="宋体"/>
          <w:b w:val="0"/>
          <w:sz w:val="24"/>
        </w:rPr>
        <w:t xml:space="preserve">    2.3 数据收集与处理</w:t>
      </w:r>
    </w:p>
    <w:p w14:paraId="1EBBFB70">
      <w:r>
        <w:rPr>
          <w:rFonts w:ascii="宋体" w:hAnsi="宋体" w:eastAsia="宋体"/>
          <w:b w:val="0"/>
          <w:sz w:val="24"/>
        </w:rPr>
        <w:t xml:space="preserve">    2.4 分析方法选取</w:t>
      </w:r>
    </w:p>
    <w:p w14:paraId="18DCA366">
      <w:r>
        <w:rPr>
          <w:rFonts w:ascii="宋体" w:hAnsi="宋体" w:eastAsia="宋体"/>
          <w:b w:val="0"/>
          <w:sz w:val="24"/>
        </w:rPr>
        <w:t xml:space="preserve">    2.5 数据分析</w:t>
      </w:r>
    </w:p>
    <w:p w14:paraId="4FBB7BAF">
      <w:r>
        <w:rPr>
          <w:rFonts w:ascii="宋体" w:hAnsi="宋体" w:eastAsia="宋体"/>
          <w:b w:val="0"/>
          <w:sz w:val="24"/>
        </w:rPr>
        <w:t xml:space="preserve">    2.6 结论与收获</w:t>
      </w:r>
    </w:p>
    <w:p w14:paraId="1F1E0FB7">
      <w:r>
        <w:br w:type="page"/>
      </w:r>
    </w:p>
    <w:p w14:paraId="7275E390">
      <w:pPr>
        <w:pStyle w:val="3"/>
      </w:pPr>
      <w:r>
        <w:rPr>
          <w:rFonts w:ascii="宋体" w:hAnsi="宋体" w:eastAsia="宋体"/>
        </w:rPr>
        <w:t>二、自主实践选题 -- Topic 2：城市共享单车动态定价策略</w:t>
      </w:r>
    </w:p>
    <w:p w14:paraId="08554CC6">
      <w:pPr>
        <w:pStyle w:val="4"/>
      </w:pPr>
      <w:r>
        <w:rPr>
          <w:rFonts w:ascii="宋体" w:hAnsi="宋体" w:eastAsia="宋体"/>
        </w:rPr>
        <w:t>2.1 选题</w:t>
      </w:r>
    </w:p>
    <w:p w14:paraId="44764B3E">
      <w:r>
        <w:rPr>
          <w:rFonts w:ascii="宋体" w:hAnsi="宋体" w:eastAsia="宋体"/>
        </w:rPr>
        <w:t>本自主实践选题为 Topic 2：城市共享单车动态定价策略。在对16个备选课题进行系统性审计后（数据可得性、开源生态完整度、单机计算可行性、职业方向匹配度四个维度），最终选择本课题。选题理由如下：</w:t>
      </w:r>
    </w:p>
    <w:p w14:paraId="3979EFBB">
      <w:pPr>
        <w:pStyle w:val="16"/>
      </w:pPr>
      <w:r>
        <w:rPr>
          <w:rFonts w:ascii="宋体" w:hAnsi="宋体" w:eastAsia="宋体"/>
        </w:rPr>
        <w:t>数据天然满足课程要求：纽约 CitiBike 官方月度骑行数据（2026年1-5月共16个CSV文件，解压后2705 MB）天然超过课程要求的1 GB结构化数据门槛，无需合成扩增，且100%为2023年以后生成的最新数据。</w:t>
      </w:r>
    </w:p>
    <w:p w14:paraId="63E30467">
      <w:pPr>
        <w:pStyle w:val="16"/>
      </w:pPr>
      <w:r>
        <w:rPr>
          <w:rFonts w:ascii="宋体" w:hAnsi="宋体" w:eastAsia="宋体"/>
        </w:rPr>
        <w:t>开源生态极为完善：GitHub 上存在两个高度成型的工业级项目 -- Shakleen/CitiBike-Demand-Prediction（2.5亿条记录的全链路PySpark+Delta Lake方案）和Charan619/CitiBike_BigData（Bikenomic动态定价策略项目），提供了可复用的代码骨架，节省大量从零开发时间。</w:t>
      </w:r>
    </w:p>
    <w:p w14:paraId="7D230544">
      <w:pPr>
        <w:pStyle w:val="16"/>
      </w:pPr>
      <w:r>
        <w:rPr>
          <w:rFonts w:ascii="宋体" w:hAnsi="宋体" w:eastAsia="宋体"/>
        </w:rPr>
        <w:t>职业方向高度契合：动态定价策略是Uber、滴滴等互联网平台的核心商业逻辑，也是数据产品经理和商业分析师面试的高频案例。本课题能直接写入简历，体现数据驱动商业决策的核心竞争力。</w:t>
      </w:r>
    </w:p>
    <w:p w14:paraId="5C2D5AB1">
      <w:pPr>
        <w:pStyle w:val="16"/>
      </w:pPr>
      <w:r>
        <w:rPr>
          <w:rFonts w:ascii="宋体" w:hAnsi="宋体" w:eastAsia="宋体"/>
        </w:rPr>
        <w:t>商业可解释性强：不同于黑箱推荐系统，本课题的定价策略基于供需缺口设计的可解释规则引擎，每个定价决策都可以追溯到具体的供需缺口数值。</w:t>
      </w:r>
    </w:p>
    <w:p w14:paraId="37BA62BD">
      <w:pPr>
        <w:pStyle w:val="4"/>
      </w:pPr>
      <w:r>
        <w:rPr>
          <w:rFonts w:ascii="宋体" w:hAnsi="宋体" w:eastAsia="宋体"/>
        </w:rPr>
        <w:t>2.2 项目目标</w:t>
      </w:r>
    </w:p>
    <w:p w14:paraId="5078A7DA">
      <w:r>
        <w:rPr>
          <w:rFonts w:ascii="宋体" w:hAnsi="宋体" w:eastAsia="宋体"/>
        </w:rPr>
        <w:t>本项目旨在基于纽约 CitiBike 真实骑行大数据，构建从原始数据采集到在线推理服务的完整数据产品。具体目标如下：</w:t>
      </w:r>
    </w:p>
    <w:p w14:paraId="7D7ACF3F">
      <w:pPr>
        <w:pStyle w:val="16"/>
      </w:pPr>
      <w:r>
        <w:rPr>
          <w:rFonts w:ascii="宋体" w:hAnsi="宋体" w:eastAsia="宋体"/>
        </w:rPr>
        <w:t>数据层面：搭建符合工业级 Medallion Architecture（Bronze-Silver-Gold）的 PySpark 分布式数据处理管道，实现多源异构数据的高效清洗、聚合与标准化存储。</w:t>
      </w:r>
    </w:p>
    <w:p w14:paraId="3D3F9ABF">
      <w:pPr>
        <w:pStyle w:val="16"/>
      </w:pPr>
      <w:r>
        <w:rPr>
          <w:rFonts w:ascii="宋体" w:hAnsi="宋体" w:eastAsia="宋体"/>
        </w:rPr>
        <w:t>模型层面：训练 Random Forest 和 Gradient Boosted Trees 回归模型，实现对2429个站点小时级借车需求与还车需求的精准预测，并通过 Hyperopt 贝叶斯优化自动搜索最优超参数组合。</w:t>
      </w:r>
    </w:p>
    <w:p w14:paraId="7807E67B">
      <w:pPr>
        <w:pStyle w:val="16"/>
      </w:pPr>
      <w:r>
        <w:rPr>
          <w:rFonts w:ascii="宋体" w:hAnsi="宋体" w:eastAsia="宋体"/>
        </w:rPr>
        <w:t>策略层面：基于模型预测结果计算各站点逐小时的供需缺口，设计四场景可解释动态定价规则引擎，将数据预测转化为可执行的商业决策建议。</w:t>
      </w:r>
    </w:p>
    <w:p w14:paraId="7A5353A4">
      <w:pPr>
        <w:pStyle w:val="16"/>
      </w:pPr>
      <w:r>
        <w:rPr>
          <w:rFonts w:ascii="宋体" w:hAnsi="宋体" w:eastAsia="宋体"/>
        </w:rPr>
        <w:t>产品层面：通过 FastAPI 将训练好的模型封装为 RESTful API 推理服务，基于 PyEcharts 构建包含6个交互式图表的数据分析看板大屏。</w:t>
      </w:r>
    </w:p>
    <w:p w14:paraId="3513E498">
      <w:pPr>
        <w:pStyle w:val="4"/>
      </w:pPr>
      <w:r>
        <w:rPr>
          <w:rFonts w:ascii="宋体" w:hAnsi="宋体" w:eastAsia="宋体"/>
        </w:rPr>
        <w:t>2.3 数据采集与处理</w:t>
      </w:r>
    </w:p>
    <w:p w14:paraId="46841BE9">
      <w:pPr>
        <w:pStyle w:val="5"/>
      </w:pPr>
      <w:r>
        <w:rPr>
          <w:rFonts w:ascii="宋体" w:hAnsi="宋体" w:eastAsia="宋体"/>
        </w:rPr>
        <w:t>2.3.1 数据来源</w:t>
      </w:r>
    </w:p>
    <w:p w14:paraId="13F5E633">
      <w:r>
        <w:rPr>
          <w:rFonts w:ascii="宋体" w:hAnsi="宋体" w:eastAsia="宋体"/>
        </w:rPr>
        <w:t>本项目所使用的数据来源于以下三个公开数据平台：</w:t>
      </w:r>
    </w:p>
    <w:p w14:paraId="6C41A01E">
      <w:pPr>
        <w:pStyle w:val="16"/>
      </w:pPr>
      <w:r>
        <w:rPr>
          <w:rFonts w:ascii="宋体" w:hAnsi="宋体" w:eastAsia="宋体"/>
        </w:rPr>
        <w:t>CitiBike 官方系统数据（https://citibikenyc.com/system-data）：下载2026年1月至5月的月度骑行记录CSV文件（共16个文件），每条记录包含骑行ID、单车类型（电动/普通）、起始/结束时间、起止站点ID与经纬度、用户类型等13个字段。5个月累计14,536,837条原始骑行记录，CSV解压后总大小2705 MB。</w:t>
      </w:r>
    </w:p>
    <w:p w14:paraId="7E4DBBFC">
      <w:pPr>
        <w:pStyle w:val="16"/>
      </w:pPr>
      <w:r>
        <w:rPr>
          <w:rFonts w:ascii="宋体" w:hAnsi="宋体" w:eastAsia="宋体"/>
        </w:rPr>
        <w:t>CitiBike GBFS 开放数据：获取2412个官方站点的元数据信息，包括站点UUID、名称、经纬度、桩位容量（capacity）。GBFS（General Bikeshare Feed Specification）是北美共享单车行业的通用数据交换标准。</w:t>
      </w:r>
    </w:p>
    <w:p w14:paraId="77B4F0C3">
      <w:pPr>
        <w:pStyle w:val="16"/>
      </w:pPr>
      <w:r>
        <w:rPr>
          <w:rFonts w:ascii="宋体" w:hAnsi="宋体" w:eastAsia="宋体"/>
        </w:rPr>
        <w:t>Open-Meteo 免费天气 API：通过HTTP请求获取2026年1月至5月纽约市的每日历史天气数据，包括日平均气温、降水量和最大风速，共151天记录。</w:t>
      </w:r>
    </w:p>
    <w:p w14:paraId="308A61AD">
      <w:pPr>
        <w:pStyle w:val="16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18175" cy="2829560"/>
            <wp:effectExtent l="0" t="0" r="15875" b="8890"/>
            <wp:docPr id="3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8175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04B5C">
      <w:pPr>
        <w:pStyle w:val="16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2620" cy="3425190"/>
            <wp:effectExtent l="0" t="0" r="11430" b="3810"/>
            <wp:docPr id="3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2620" cy="342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0AE23">
      <w:pPr>
        <w:pStyle w:val="5"/>
      </w:pPr>
      <w:r>
        <w:rPr>
          <w:rFonts w:ascii="宋体" w:hAnsi="宋体" w:eastAsia="宋体"/>
        </w:rPr>
        <w:t>2.3.2 数据处理管道（Medallion Architecture）</w:t>
      </w:r>
    </w:p>
    <w:p w14:paraId="3E02DACB">
      <w:r>
        <w:rPr>
          <w:rFonts w:ascii="宋体" w:hAnsi="宋体" w:eastAsia="宋体"/>
        </w:rPr>
        <w:t>本课题的数据处理管道采用 Databricks 公司提出的 Medallion Architecture（奖牌架构）。所有数据处理均在 PySpark 本地模式（local[*], 4 GB Driver Memory）下分布式执行。</w:t>
      </w:r>
    </w:p>
    <w:p w14:paraId="255BD01F">
      <w:pPr>
        <w:outlineLvl w:val="3"/>
      </w:pPr>
      <w:r>
        <w:rPr>
          <w:rFonts w:ascii="宋体" w:hAnsi="宋体" w:eastAsia="宋体"/>
        </w:rPr>
        <w:t>（1）Raw - Bronze（数据摄入与标准化）</w:t>
      </w:r>
    </w:p>
    <w:p w14:paraId="0DD75A07">
      <w:r>
        <w:rPr>
          <w:rFonts w:ascii="宋体" w:hAnsi="宋体" w:eastAsia="宋体"/>
        </w:rPr>
        <w:t>通过 Python glob 模块扫描 data/raw/ 目录下的16个CSV文件，使用 spark.read.csv() 统一载入。写入 bronze/raw_trips.parquet（14,536,837条记录）。随后通过 raw_to_bronze 处理器统一时间戳格式、删除重复 ride_id、按经纬度拆分出独立的站点维度表（2,433个唯一站点）。</w:t>
      </w:r>
    </w:p>
    <w:p w14:paraId="5C3BAEA3">
      <w:pPr>
        <w:outlineLvl w:val="3"/>
      </w:pPr>
      <w:r>
        <w:rPr>
          <w:rFonts w:ascii="宋体" w:hAnsi="宋体" w:eastAsia="宋体"/>
        </w:rPr>
        <w:t>（2）Bronze - Silver（特征工程层）</w:t>
      </w:r>
    </w:p>
    <w:p w14:paraId="0D9A6A02">
      <w:r>
        <w:rPr>
          <w:rFonts w:ascii="宋体" w:hAnsi="宋体" w:eastAsia="宋体"/>
        </w:rPr>
        <w:t>这是数据管道中最关键的一层，在 Shakleen 原始代码基础上进行了大幅增强：</w:t>
      </w:r>
    </w:p>
    <w:p w14:paraId="406AD209">
      <w:pPr>
        <w:pStyle w:val="16"/>
      </w:pPr>
      <w:r>
        <w:rPr>
          <w:rFonts w:ascii="宋体" w:hAnsi="宋体" w:eastAsia="宋体"/>
        </w:rPr>
        <w:t>事件拆分：将每条骑行记录拆分为出发事件（借车）和到达事件（还车）两个独立事件。</w:t>
      </w:r>
    </w:p>
    <w:p w14:paraId="173F025C">
      <w:pPr>
        <w:pStyle w:val="16"/>
      </w:pPr>
      <w:r>
        <w:rPr>
          <w:rFonts w:ascii="宋体" w:hAnsi="宋体" w:eastAsia="宋体"/>
        </w:rPr>
        <w:t>聚合与派生特征：按（station_id, event_hour）分组聚合。从 rideable_type 和 member_casual 派生电动车比例、会员占比、平均骑行时长。这三个特征后来成为模型的最强预测因子。</w:t>
      </w:r>
    </w:p>
    <w:p w14:paraId="173FD1EA">
      <w:pPr>
        <w:pStyle w:val="16"/>
      </w:pPr>
      <w:r>
        <w:rPr>
          <w:rFonts w:ascii="宋体" w:hAnsi="宋体" w:eastAsia="宋体"/>
        </w:rPr>
        <w:t>时间特征：添加 year、month、day、weekday、hour 等，派生 is_weekend、is_rush_hour，并对 hour/weekday 进行 sin/cos 周期编码。</w:t>
      </w:r>
    </w:p>
    <w:p w14:paraId="519449D2">
      <w:pPr>
        <w:pStyle w:val="16"/>
      </w:pPr>
      <w:r>
        <w:rPr>
          <w:rFonts w:ascii="宋体" w:hAnsi="宋体" w:eastAsia="宋体"/>
        </w:rPr>
        <w:t>节假日标注：基于美国联邦假日官方日历（2025-2027年）精确匹配标记。</w:t>
      </w:r>
    </w:p>
    <w:p w14:paraId="38150A2C">
      <w:pPr>
        <w:pStyle w:val="16"/>
      </w:pPr>
      <w:r>
        <w:rPr>
          <w:rFonts w:ascii="宋体" w:hAnsi="宋体" w:eastAsia="宋体"/>
        </w:rPr>
        <w:t>站点容量空间匹配：CitiBike CSV 站点ID（短数字如 6535.04）与 GBFS 站点ID（UUID）属于两套完全不同的编码体系。采用 scipy.cKDTree 经纬度最近邻站匹配算法，成功匹配率达99.3%（2415/2433站），获得容量值（范围0-123，均值35.5）。</w:t>
      </w:r>
    </w:p>
    <w:p w14:paraId="1D25B730">
      <w:pPr>
        <w:pStyle w:val="16"/>
      </w:pPr>
      <w:r>
        <w:rPr>
          <w:rFonts w:ascii="宋体" w:hAnsi="宋体" w:eastAsia="宋体"/>
        </w:rPr>
        <w:t>天气数据关联：通过日期字段关联 Open-Meteo 数据，添加气温、降水、风速三个气象特征。</w:t>
      </w:r>
    </w:p>
    <w:p w14:paraId="08389770">
      <w:pPr>
        <w:jc w:val="center"/>
      </w:pPr>
      <w:r>
        <w:drawing>
          <wp:inline distT="0" distB="0" distL="114300" distR="114300">
            <wp:extent cx="5029200" cy="25146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B1AC4">
      <w:r>
        <w:rPr>
          <w:rFonts w:ascii="宋体" w:hAnsi="宋体" w:eastAsia="宋体"/>
        </w:rPr>
        <w:t>图1：数据管道各层的记录数变化。从原始CSV的1450万条记录到最终训练特征的438万条站点-小时聚合记录，可视化展示了Medallion架构逐层精炼的数据流。</w:t>
      </w:r>
    </w:p>
    <w:p w14:paraId="741795C1">
      <w:pPr>
        <w:outlineLvl w:val="3"/>
      </w:pPr>
      <w:r>
        <w:rPr>
          <w:rFonts w:ascii="宋体" w:hAnsi="宋体" w:eastAsia="宋体"/>
        </w:rPr>
        <w:t>（3）Silver - Gold（标准化与降维层）</w:t>
      </w:r>
    </w:p>
    <w:p w14:paraId="177566E1">
      <w:r>
        <w:rPr>
          <w:rFonts w:ascii="宋体" w:hAnsi="宋体" w:eastAsia="宋体"/>
        </w:rPr>
        <w:t>通过 PySpark ML Pipeline（VectorAssembler - StandardScaler - PCA）对全部数值特征进行标准化和降维处理。PCA 保留5个主成分，累计方差解释率达100%。</w:t>
      </w:r>
    </w:p>
    <w:p w14:paraId="4A29C857">
      <w:pPr>
        <w:pStyle w:val="4"/>
      </w:pPr>
      <w:r>
        <w:rPr>
          <w:rFonts w:ascii="宋体" w:hAnsi="宋体" w:eastAsia="宋体"/>
        </w:rPr>
        <w:t>2.4 分析方法选取</w:t>
      </w:r>
    </w:p>
    <w:p w14:paraId="1DCE82F9">
      <w:pPr>
        <w:pStyle w:val="5"/>
      </w:pPr>
      <w:r>
        <w:rPr>
          <w:rFonts w:ascii="宋体" w:hAnsi="宋体" w:eastAsia="宋体"/>
        </w:rPr>
        <w:t>2.4.1 模型选择</w:t>
      </w:r>
    </w:p>
    <w:p w14:paraId="7EE90A2C">
      <w:r>
        <w:rPr>
          <w:rFonts w:ascii="宋体" w:hAnsi="宋体" w:eastAsia="宋体"/>
        </w:rPr>
        <w:t>本课题要解决的是一个回归问题：给定站点ID和时间戳，预测该站点未来一小时的借出量和还入量。经过对比实验：</w:t>
      </w:r>
    </w:p>
    <w:p w14:paraId="0FD32A5E">
      <w:pPr>
        <w:pStyle w:val="16"/>
      </w:pPr>
      <w:r>
        <w:rPr>
          <w:rFonts w:ascii="宋体" w:hAnsi="宋体" w:eastAsia="宋体"/>
        </w:rPr>
        <w:t>Random Forest Regressor（PySpark MLlib）：通过 Bagging 和随机特征子集策略降低过拟合。加入新特征后 R^2 达到 0.644，训练耗时约57秒。</w:t>
      </w:r>
    </w:p>
    <w:p w14:paraId="7CEC4088">
      <w:pPr>
        <w:pStyle w:val="16"/>
      </w:pPr>
      <w:r>
        <w:rPr>
          <w:rFonts w:ascii="宋体" w:hAnsi="宋体" w:eastAsia="宋体"/>
        </w:rPr>
        <w:t>Gradient Boosted Trees Regressor（PySpark MLlib）：采用 Boosting 策略逐树纠错。训练速度更快（44s），但 Windows 单机环境下稳定性不如 RF。API 部署以随机森林为主力模型。</w:t>
      </w:r>
    </w:p>
    <w:p w14:paraId="28E4EAEC">
      <w:pPr>
        <w:jc w:val="center"/>
      </w:pPr>
      <w:r>
        <w:drawing>
          <wp:inline distT="0" distB="0" distL="114300" distR="114300">
            <wp:extent cx="5029200" cy="2794000"/>
            <wp:effectExtent l="0" t="0" r="0" b="6350"/>
            <wp:docPr id="3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37D10">
      <w:r>
        <w:rPr>
          <w:rFonts w:ascii="宋体" w:hAnsi="宋体" w:eastAsia="宋体"/>
        </w:rPr>
        <w:t>图2：RF与GBT在借车需求预测上的性能对比。RF在R²和RMSE上均显著优于仅有时间特征的GBT，更适合作为生产部署的主力模型。</w:t>
      </w:r>
    </w:p>
    <w:p w14:paraId="6BEE4AE2">
      <w:pPr>
        <w:pStyle w:val="5"/>
      </w:pPr>
      <w:r>
        <w:rPr>
          <w:rFonts w:ascii="宋体" w:hAnsi="宋体" w:eastAsia="宋体"/>
        </w:rPr>
        <w:t>2.4.2 特征工程</w:t>
      </w:r>
    </w:p>
    <w:p w14:paraId="650BED67">
      <w:r>
        <w:rPr>
          <w:rFonts w:ascii="宋体" w:hAnsi="宋体" w:eastAsia="宋体"/>
        </w:rPr>
        <w:t>特征经历了三轮迭代优化。以下图表直观展示了三轮迭代对模型性能的显著提升：</w:t>
      </w:r>
    </w:p>
    <w:p w14:paraId="5D7CF1E1">
      <w:pPr>
        <w:jc w:val="center"/>
      </w:pPr>
      <w:r>
        <w:drawing>
          <wp:inline distT="0" distB="0" distL="114300" distR="114300">
            <wp:extent cx="5029200" cy="2828925"/>
            <wp:effectExtent l="0" t="0" r="0" b="9525"/>
            <wp:docPr id="3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4CE0A">
      <w:r>
        <w:rPr>
          <w:rFonts w:ascii="宋体" w:hAnsi="宋体" w:eastAsia="宋体"/>
        </w:rPr>
        <w:t>图3：三轮特征迭代的R²对比。第一版纯时间特征R²仅0.135；第二版加入业务特征后R²飙升至0.631（提升4.7倍）；第三版补充天气和容量后R²达到0.644。前两轮改进完全来自对原始数据的深度挖掘，而非外部数据。</w:t>
      </w:r>
    </w:p>
    <w:p w14:paraId="17D0C8E8">
      <w:pPr>
        <w:pStyle w:val="5"/>
      </w:pPr>
      <w:r>
        <w:rPr>
          <w:rFonts w:ascii="宋体" w:hAnsi="宋体" w:eastAsia="宋体"/>
        </w:rPr>
        <w:t>2.4.3 特征重要性分析</w:t>
      </w:r>
    </w:p>
    <w:p w14:paraId="5794E6AC">
      <w:pPr>
        <w:jc w:val="center"/>
      </w:pPr>
      <w:r>
        <w:drawing>
          <wp:inline distT="0" distB="0" distL="114300" distR="114300">
            <wp:extent cx="5029200" cy="2794000"/>
            <wp:effectExtent l="0" t="0" r="0" b="6350"/>
            <wp:docPr id="3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058F2">
      <w:r>
        <w:rPr>
          <w:rFonts w:ascii="宋体" w:hAnsi="宋体" w:eastAsia="宋体"/>
        </w:rPr>
        <w:t>图4：随机森林模型Top-8特征重要性排名。前三个业务特征合计重要性（0.889）远超所有11个时间特征（合计约0.111）。电动车比例（0.372）是最强预测因子。</w:t>
      </w:r>
    </w:p>
    <w:p w14:paraId="3C21DCD1">
      <w:pPr>
        <w:pStyle w:val="5"/>
      </w:pPr>
      <w:r>
        <w:rPr>
          <w:rFonts w:ascii="宋体" w:hAnsi="宋体" w:eastAsia="宋体"/>
        </w:rPr>
        <w:t>2.4.4 PCA 降维</w:t>
      </w:r>
    </w:p>
    <w:p w14:paraId="6179D07E">
      <w:r>
        <w:rPr>
          <w:rFonts w:ascii="宋体" w:hAnsi="宋体" w:eastAsia="宋体"/>
        </w:rPr>
        <w:t>对时间特征进行主成分分析（PCA），将11维时间特征压缩为5个主成分（累计方差解释率100%）。前3个主成分即可解释76.9%的总方差，表明时间特征之间存在一定冗余。</w:t>
      </w:r>
    </w:p>
    <w:p w14:paraId="70C48A01">
      <w:pPr>
        <w:pStyle w:val="5"/>
      </w:pPr>
      <w:r>
        <w:rPr>
          <w:rFonts w:ascii="宋体" w:hAnsi="宋体" w:eastAsia="宋体"/>
        </w:rPr>
        <w:t>2.4.5 Hyperopt 自动调参</w:t>
      </w:r>
    </w:p>
    <w:p w14:paraId="397BA0AE">
      <w:r>
        <w:rPr>
          <w:rFonts w:ascii="宋体" w:hAnsi="宋体" w:eastAsia="宋体"/>
        </w:rPr>
        <w:t>使用 Hyperopt 库的 TPE（Tree-structured Parzen Estimator）算法进行贝叶斯超参数优化。以验证集 RMSE 为最小化目标，对 numTrees、maxDepth、maxBins、minInstancesPerNode、subsamplingRate 五个核心超参数进行了8轮贝叶斯搜索。调参结果显示默认参数已接近最优（RMSE 仅从4.74降至4.745），说明特征丰富度是真正的瓶颈而非超参数。</w:t>
      </w:r>
    </w:p>
    <w:p w14:paraId="1A950E36">
      <w:pPr>
        <w:pStyle w:val="5"/>
      </w:pPr>
      <w:r>
        <w:rPr>
          <w:rFonts w:ascii="宋体" w:hAnsi="宋体" w:eastAsia="宋体"/>
        </w:rPr>
        <w:t>2.4.6 定价策略设计</w:t>
      </w:r>
    </w:p>
    <w:p w14:paraId="749E712B">
      <w:r>
        <w:rPr>
          <w:rFonts w:ascii="宋体" w:hAnsi="宋体" w:eastAsia="宋体"/>
        </w:rPr>
        <w:t>区别于直接预测价格的端到端黑箱方法，本课题采用 预测-规则 的解耦架构：先用ML模型准确预测供需数量，再基于经济学供需原理设计可解释的定价规则引擎。四种定价场景如下：</w:t>
      </w:r>
    </w:p>
    <w:p w14:paraId="19E31862">
      <w:pPr>
        <w:jc w:val="center"/>
      </w:pPr>
      <w:r>
        <w:drawing>
          <wp:inline distT="0" distB="0" distL="114300" distR="114300">
            <wp:extent cx="5943600" cy="1697990"/>
            <wp:effectExtent l="0" t="0" r="0" b="16510"/>
            <wp:docPr id="3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FFBEA">
      <w:r>
        <w:rPr>
          <w:rFonts w:ascii="宋体" w:hAnsi="宋体" w:eastAsia="宋体"/>
        </w:rPr>
        <w:t>图5：四种定价场景演示。从左到右：缺车涨价（1.50x, $6.74）、还车拥堵涨价（1.30x, $5.84）、均衡原价（1.00x, $4.49）、过剩降价（0.76x, $3.41）。每个定价决策都可追溯到具体的供需缺口数值。</w:t>
      </w:r>
    </w:p>
    <w:p w14:paraId="61EFA974">
      <w:pPr>
        <w:pStyle w:val="16"/>
      </w:pPr>
      <w:r>
        <w:rPr>
          <w:rFonts w:ascii="宋体" w:hAnsi="宋体" w:eastAsia="宋体"/>
        </w:rPr>
        <w:t>Surge 涨价（1.2x-2.0x）：当预测需求远超当前可用车辆/空桩时，最高封顶2倍基础价。</w:t>
      </w:r>
    </w:p>
    <w:p w14:paraId="382094C7">
      <w:pPr>
        <w:pStyle w:val="16"/>
      </w:pPr>
      <w:r>
        <w:rPr>
          <w:rFonts w:ascii="宋体" w:hAnsi="宋体" w:eastAsia="宋体"/>
        </w:rPr>
        <w:t>Mild Surge 温和涨价（1.0x-1.3x）：当站点即将被还车塞满时，阻止更多用户还车到此。</w:t>
      </w:r>
    </w:p>
    <w:p w14:paraId="537E91B7">
      <w:pPr>
        <w:pStyle w:val="16"/>
      </w:pPr>
      <w:r>
        <w:rPr>
          <w:rFonts w:ascii="宋体" w:hAnsi="宋体" w:eastAsia="宋体"/>
        </w:rPr>
        <w:t>Normal 标准定价（1.0x）：供需基本平衡，基础价 $4.49。</w:t>
      </w:r>
    </w:p>
    <w:p w14:paraId="455B9CAC">
      <w:pPr>
        <w:pStyle w:val="16"/>
      </w:pPr>
      <w:r>
        <w:rPr>
          <w:rFonts w:ascii="宋体" w:hAnsi="宋体" w:eastAsia="宋体"/>
        </w:rPr>
        <w:t>Discount 降价促销（0.7x-0.9x）：站点车辆空桩充裕时，降价吸引用户来消费。</w:t>
      </w:r>
    </w:p>
    <w:p w14:paraId="7DB8B5CA">
      <w:pPr>
        <w:pStyle w:val="4"/>
      </w:pPr>
      <w:r>
        <w:rPr>
          <w:rFonts w:ascii="宋体" w:hAnsi="宋体" w:eastAsia="宋体"/>
        </w:rPr>
        <w:t>2.5 数据分析</w:t>
      </w:r>
    </w:p>
    <w:p w14:paraId="5809604A">
      <w:pPr>
        <w:pStyle w:val="5"/>
      </w:pPr>
      <w:r>
        <w:rPr>
          <w:rFonts w:ascii="宋体" w:hAnsi="宋体" w:eastAsia="宋体"/>
        </w:rPr>
        <w:t>2.5.1 模型性能</w:t>
      </w:r>
    </w:p>
    <w:p w14:paraId="1722FF13">
      <w:r>
        <w:rPr>
          <w:rFonts w:ascii="宋体" w:hAnsi="宋体" w:eastAsia="宋体"/>
        </w:rPr>
        <w:t>随机森林回归模型在439,618条测试集上的表现：</w:t>
      </w:r>
    </w:p>
    <w:p w14:paraId="3A64E495">
      <w:pPr>
        <w:pStyle w:val="16"/>
      </w:pPr>
      <w:r>
        <w:rPr>
          <w:rFonts w:ascii="宋体" w:hAnsi="宋体" w:eastAsia="宋体"/>
        </w:rPr>
        <w:t>借车需求（bike_demand）预测：Test RMSE = 3.04，R^2 = 0.644。模型能解释64.4%的需求波动，平均预测误差约为 +-3辆车（在0-60辆的范围内）。</w:t>
      </w:r>
    </w:p>
    <w:p w14:paraId="43546D0D">
      <w:pPr>
        <w:pStyle w:val="16"/>
      </w:pPr>
      <w:r>
        <w:rPr>
          <w:rFonts w:ascii="宋体" w:hAnsi="宋体" w:eastAsia="宋体"/>
        </w:rPr>
        <w:t>还车需求（dock_demand）预测：Test RMSE = 3.85，R^2 = 0.436。</w:t>
      </w:r>
    </w:p>
    <w:p w14:paraId="43265F55">
      <w:pPr>
        <w:pStyle w:val="5"/>
      </w:pPr>
      <w:r>
        <w:rPr>
          <w:rFonts w:ascii="宋体" w:hAnsi="宋体" w:eastAsia="宋体"/>
        </w:rPr>
        <w:t>2.5.2 定价策略分析</w:t>
      </w:r>
    </w:p>
    <w:p w14:paraId="390AD59A">
      <w:pPr>
        <w:jc w:val="center"/>
      </w:pPr>
      <w:r>
        <w:drawing>
          <wp:inline distT="0" distB="0" distL="114300" distR="114300">
            <wp:extent cx="5029200" cy="5029200"/>
            <wp:effectExtent l="0" t="0" r="0" b="0"/>
            <wp:docPr id="3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2AF7D">
      <w:r>
        <w:rPr>
          <w:rFonts w:ascii="宋体" w:hAnsi="宋体" w:eastAsia="宋体"/>
        </w:rPr>
        <w:t>图6：对全部4,388,359条站点-小时记录应用定价引擎后的四类分布。Discount占89.8%（均价$3.56），Normal占9.3%（$4.49），Surge+ Mild Surge合计占0.9%。折扣占比偏高是因为离线分析中假设所有站点初始半满，实际生产环境中通过GBFS实时API获取动态库存后分布将更均衡。</w:t>
      </w:r>
    </w:p>
    <w:p w14:paraId="63445987">
      <w:pPr>
        <w:pStyle w:val="5"/>
      </w:pPr>
      <w:r>
        <w:rPr>
          <w:rFonts w:ascii="宋体" w:hAnsi="宋体" w:eastAsia="宋体"/>
        </w:rPr>
        <w:t>2.5.3 关键发现</w:t>
      </w:r>
    </w:p>
    <w:p w14:paraId="0AD20BD2">
      <w:pPr>
        <w:pStyle w:val="16"/>
      </w:pPr>
      <w:r>
        <w:rPr>
          <w:rFonts w:ascii="宋体" w:hAnsi="宋体" w:eastAsia="宋体"/>
        </w:rPr>
        <w:t>模型 R^2 从初始的0.14提升到0.64（4.7倍提升），证明特征工程的质量对模型性能的影响远超算法选择和超参数调优。</w:t>
      </w:r>
    </w:p>
    <w:p w14:paraId="64298C13">
      <w:pPr>
        <w:pStyle w:val="16"/>
      </w:pPr>
      <w:r>
        <w:rPr>
          <w:rFonts w:ascii="宋体" w:hAnsi="宋体" w:eastAsia="宋体"/>
        </w:rPr>
        <w:t>电动车比例和会员占比是最强的需求预测因子，重要性分别是时间特征的17倍和16倍。</w:t>
      </w:r>
    </w:p>
    <w:p w14:paraId="484394D9">
      <w:pPr>
        <w:pStyle w:val="16"/>
      </w:pPr>
      <w:r>
        <w:rPr>
          <w:rFonts w:ascii="宋体" w:hAnsi="宋体" w:eastAsia="宋体"/>
        </w:rPr>
        <w:t>天气对纽约骑行需求影响有限（加入后 R^2 仅从0.631升至0.644），与纽约市民全年骑行的习惯有关。</w:t>
      </w:r>
    </w:p>
    <w:p w14:paraId="2F969DAF">
      <w:pPr>
        <w:pStyle w:val="4"/>
      </w:pPr>
      <w:r>
        <w:rPr>
          <w:rFonts w:ascii="宋体" w:hAnsi="宋体" w:eastAsia="宋体"/>
        </w:rPr>
        <w:t>2.6 项目成果展示</w:t>
      </w:r>
    </w:p>
    <w:p w14:paraId="22C0A7B5">
      <w:pPr>
        <w:pStyle w:val="5"/>
        <w:rPr>
          <w:rFonts w:ascii="宋体" w:hAnsi="宋体" w:eastAsia="宋体"/>
        </w:rPr>
      </w:pPr>
      <w:r>
        <w:rPr>
          <w:rFonts w:ascii="宋体" w:hAnsi="宋体" w:eastAsia="宋体"/>
        </w:rPr>
        <w:t>2.6.1 FastAPI 在线推理服务</w:t>
      </w:r>
    </w:p>
    <w:p w14:paraId="3B6324D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在项目仓库根目录的终端中输入：</w:t>
      </w:r>
    </w:p>
    <w:p w14:paraId="6B7F452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python -m uvicorn src.api.main:app</w:t>
      </w:r>
    </w:p>
    <w:p w14:paraId="4AC689D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启动成功后，打开 http://localhost:8000/demo 查看演示页面。</w:t>
      </w:r>
    </w:p>
    <w:p w14:paraId="6C400143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API 文档位于 http://localhost:8000/docs，数据大屏位于 http://localhost:8000/dashboard。</w:t>
      </w:r>
      <w:r>
        <w:rPr>
          <w:rFonts w:ascii="宋体" w:hAnsi="宋体"/>
          <w:sz w:val="22"/>
        </w:rPr>
      </w:r>
      <w:r>
        <w:rPr>
          <w:rFonts w:hint="eastAsia"/>
          <w:sz w:val="22"/>
          <w:lang w:val="en-US" w:eastAsia="zh-CN"/>
        </w:rPr>
      </w:r>
    </w:p>
    <w:p w14:paraId="4C95DA64">
      <w:r>
        <w:rPr>
          <w:rFonts w:ascii="宋体" w:hAnsi="宋体" w:eastAsia="宋体"/>
        </w:rPr>
        <w:t>训练好的模型通过 FastAPI 封装为 RESTful API 服务，提供三个核心接口：</w:t>
      </w:r>
    </w:p>
    <w:p w14:paraId="264166BB">
      <w:pPr>
        <w:pStyle w:val="16"/>
      </w:pPr>
      <w:r>
        <w:rPr>
          <w:rFonts w:ascii="宋体" w:hAnsi="宋体" w:eastAsia="宋体"/>
        </w:rPr>
        <w:t>/api/v1/predict：单次需求预测 + 定价建议（输入站点ID、时间戳、当前库存，返回预测需求和定价乘数）。</w:t>
      </w:r>
    </w:p>
    <w:p w14:paraId="54F6BC96">
      <w:pPr>
        <w:pStyle w:val="16"/>
      </w:pPr>
      <w:r>
        <w:rPr>
          <w:rFonts w:ascii="宋体" w:hAnsi="宋体" w:eastAsia="宋体"/>
        </w:rPr>
        <w:t>/api/v1/station/{id}/forecast：24小时逐时预测序列，支持运营人员查看全天趋势。</w:t>
      </w:r>
    </w:p>
    <w:p w14:paraId="2713AA7D">
      <w:pPr>
        <w:pStyle w:val="16"/>
      </w:pPr>
      <w:r>
        <w:rPr>
          <w:rFonts w:ascii="宋体" w:hAnsi="宋体" w:eastAsia="宋体"/>
        </w:rPr>
        <w:t>/api/v1/hotspots：返回当前需要涨价和降价的Top-5站点列表。</w:t>
      </w:r>
    </w:p>
    <w:p w14:paraId="4FD821A4">
      <w:pPr>
        <w:pStyle w:val="16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6430" cy="4723765"/>
            <wp:effectExtent l="0" t="0" r="7620" b="635"/>
            <wp:docPr id="3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6430" cy="472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AFE04">
      <w:pPr>
        <w:pStyle w:val="16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3890" cy="3076575"/>
            <wp:effectExtent l="0" t="0" r="10160" b="9525"/>
            <wp:docPr id="4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EE463">
      <w:pPr>
        <w:pStyle w:val="16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7700" cy="7356475"/>
            <wp:effectExtent l="0" t="0" r="6350" b="15875"/>
            <wp:docPr id="4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35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DE17E">
      <w:pPr>
        <w:pStyle w:val="16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5160" cy="3429000"/>
            <wp:effectExtent l="0" t="0" r="8890" b="0"/>
            <wp:docPr id="4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B7280">
      <w:pPr>
        <w:pStyle w:val="5"/>
      </w:pPr>
      <w:r>
        <w:rPr>
          <w:rFonts w:ascii="宋体" w:hAnsi="宋体" w:eastAsia="宋体"/>
        </w:rPr>
        <w:t>2.6.2 PyEcharts 数据可视化看板</w:t>
      </w:r>
    </w:p>
    <w:p w14:paraId="12D2A944">
      <w:r>
        <w:rPr>
          <w:rFonts w:ascii="宋体" w:hAnsi="宋体" w:eastAsia="宋体"/>
        </w:rPr>
        <w:t>基于 PyEcharts 构建了包含6个交互式图表的综合分析大屏，文件为独立的 dashboard.html，可通过浏览器直接打开或通过FastAPI的 /dashboard 路由访问。6个图表的布局和功能如下：</w:t>
      </w:r>
    </w:p>
    <w:p w14:paraId="6940811A">
      <w:pPr>
        <w:pStyle w:val="16"/>
      </w:pPr>
      <w:r>
        <w:rPr>
          <w:rFonts w:ascii="宋体" w:hAnsi="宋体" w:eastAsia="宋体"/>
        </w:rPr>
        <w:t>左上：定价区域分布饼图 -- 直观展示 Surge/Normal/Discount 三类定价的占比。</w:t>
      </w:r>
    </w:p>
    <w:p w14:paraId="2E5423F9">
      <w:pPr>
        <w:pStyle w:val="16"/>
      </w:pPr>
      <w:r>
        <w:rPr>
          <w:rFonts w:ascii="宋体" w:hAnsi="宋体" w:eastAsia="宋体"/>
        </w:rPr>
        <w:t>右上：24小时需求模式折线图 -- 展示全天各时段平均借车/还车量的变化趋势，清晰反映出早晚高峰模式。</w:t>
      </w:r>
    </w:p>
    <w:p w14:paraId="0ED36108">
      <w:pPr>
        <w:pStyle w:val="16"/>
      </w:pPr>
      <w:r>
        <w:rPr>
          <w:rFonts w:ascii="宋体" w:hAnsi="宋体" w:eastAsia="宋体"/>
        </w:rPr>
        <w:t>左中：模型特征重要性横向柱状图 -- Top-10特征排名，电动车比例和会员占比位居前两位。</w:t>
      </w:r>
    </w:p>
    <w:p w14:paraId="70685C55">
      <w:pPr>
        <w:pStyle w:val="16"/>
      </w:pPr>
      <w:r>
        <w:rPr>
          <w:rFonts w:ascii="宋体" w:hAnsi="宋体" w:eastAsia="宋体"/>
        </w:rPr>
        <w:t>右中：借车 vs 还车需求散点图 -- 按定价区域着色（红=Surge, 蓝=Normal, 绿=Discount），展示供需组合的分布模式。</w:t>
      </w:r>
    </w:p>
    <w:p w14:paraId="112F1CA8">
      <w:pPr>
        <w:pStyle w:val="16"/>
      </w:pPr>
      <w:r>
        <w:rPr>
          <w:rFonts w:ascii="宋体" w:hAnsi="宋体" w:eastAsia="宋体"/>
        </w:rPr>
        <w:t>左下：建议价格分布直方图 -- 各价格区间的记录数分布。</w:t>
      </w:r>
    </w:p>
    <w:p w14:paraId="7C06DF67">
      <w:pPr>
        <w:pStyle w:val="16"/>
      </w:pPr>
      <w:r>
        <w:rPr>
          <w:rFonts w:ascii="宋体" w:hAnsi="宋体" w:eastAsia="宋体"/>
        </w:rPr>
        <w:t>右下：Top-10 高频涨价站点排名 -- 横向柱状图，按平均定价乘数降序排列，一眼识别问题站点。</w:t>
      </w:r>
    </w:p>
    <w:p w14:paraId="7037D7F8">
      <w:pPr>
        <w:pStyle w:val="16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8970" cy="2807335"/>
            <wp:effectExtent l="0" t="0" r="5080" b="12065"/>
            <wp:docPr id="4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E179F">
      <w:pPr>
        <w:pStyle w:val="16"/>
        <w:numPr>
          <w:ilvl w:val="0"/>
          <w:numId w:val="0"/>
        </w:numPr>
        <w:ind w:leftChars="0"/>
      </w:pPr>
    </w:p>
    <w:p w14:paraId="054EDBB0">
      <w:pPr>
        <w:pStyle w:val="16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629275" cy="3956050"/>
            <wp:effectExtent l="0" t="0" r="0" b="0"/>
            <wp:docPr id="4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rcRect l="1653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B92BD">
      <w:pPr>
        <w:jc w:val="center"/>
      </w:pPr>
      <w:r>
        <w:rPr>
          <w:rFonts w:ascii="宋体" w:hAnsi="宋体"/>
          <w:b/>
          <w:sz w:val="32"/>
        </w:rPr>
        <w:t>[ SCREENSHOT: PyEcharts数据分析大屏 ]</w:t>
      </w:r>
    </w:p>
    <w:p w14:paraId="6CAC85A9">
      <w:pPr>
        <w:jc w:val="center"/>
      </w:pPr>
      <w:r>
        <w:rPr>
          <w:rFonts w:ascii="宋体" w:hAnsi="宋体"/>
          <w:sz w:val="22"/>
        </w:rPr>
        <w:t xml:space="preserve">   浏览器截图：http://localhost:8000/dashboard 页面完整截图。展示页面的KPI卡片行（分析记录数438万、站点数2433、平均定价乘数、平均建议价格）以及下方的6图表网格布局。这是答辩时最核心的展示页面，建议截取高清截图贴入此处。</w:t>
      </w:r>
    </w:p>
    <w:p w14:paraId="535C59A4">
      <w:pPr>
        <w:pStyle w:val="5"/>
      </w:pPr>
      <w:r>
        <w:rPr>
          <w:rFonts w:ascii="宋体" w:hAnsi="宋体" w:eastAsia="宋体"/>
        </w:rPr>
        <w:t>2.6.3 测试与代码质量</w:t>
      </w:r>
    </w:p>
    <w:p w14:paraId="055D10AC">
      <w:pPr>
        <w:pStyle w:val="16"/>
      </w:pPr>
      <w:r>
        <w:rPr>
          <w:rFonts w:ascii="宋体" w:hAnsi="宋体" w:eastAsia="宋体"/>
        </w:rPr>
        <w:t>pytest 单元测试：23个测试用例全部通过，覆盖定价引擎（6种场景）、空间匹配、供需缺口计算、IO工具和距离算法。</w:t>
      </w:r>
    </w:p>
    <w:p w14:paraId="1430E4E4">
      <w:pPr>
        <w:pStyle w:val="16"/>
      </w:pPr>
      <w:r>
        <w:rPr>
          <w:rFonts w:ascii="宋体" w:hAnsi="宋体" w:eastAsia="宋体"/>
        </w:rPr>
        <w:t>flake8 代码规范检查：0 错误，符合 PEP8 标准。</w:t>
      </w:r>
    </w:p>
    <w:p w14:paraId="33FA4EDC">
      <w:pPr>
        <w:pStyle w:val="16"/>
      </w:pPr>
      <w:r>
        <w:rPr>
          <w:rFonts w:ascii="宋体" w:hAnsi="宋体" w:eastAsia="宋体"/>
        </w:rPr>
        <w:t>GitHub Actions CI/CD：配置了 Push 自动触发 flake8 + pytest 的持续集成流水线。</w:t>
      </w:r>
    </w:p>
    <w:p w14:paraId="12A07584">
      <w:pPr>
        <w:jc w:val="center"/>
        <w:rPr>
          <w:rFonts w:ascii="宋体" w:hAnsi="宋体"/>
          <w:sz w:val="22"/>
        </w:rPr>
      </w:pPr>
      <w:r>
        <w:drawing>
          <wp:inline distT="0" distB="0" distL="114300" distR="114300">
            <wp:extent cx="5727700" cy="2533015"/>
            <wp:effectExtent l="0" t="0" r="6350" b="635"/>
            <wp:docPr id="4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53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sz w:val="22"/>
        </w:rPr>
        <w:t xml:space="preserve">   终端截图：运行 pytest tests/ -v 的输出，展示23个测试全部 PASSED，绿色通过状态。</w:t>
      </w:r>
    </w:p>
    <w:p w14:paraId="05BFB02D">
      <w:pPr>
        <w:jc w:val="center"/>
      </w:pPr>
      <w:r>
        <w:drawing>
          <wp:inline distT="0" distB="0" distL="114300" distR="114300">
            <wp:extent cx="5725160" cy="648970"/>
            <wp:effectExtent l="0" t="0" r="8890" b="17780"/>
            <wp:docPr id="4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843D8">
      <w:pPr>
        <w:jc w:val="center"/>
      </w:pPr>
      <w:r>
        <w:rPr>
          <w:rFonts w:ascii="宋体" w:hAnsi="宋体"/>
          <w:sz w:val="22"/>
        </w:rPr>
        <w:t xml:space="preserve">   终端截图：运行 flake8 src/ tests/ --count --statistics 的输出，展示0 warnings/errors 的结果。</w:t>
      </w:r>
    </w:p>
    <w:p w14:paraId="78F122DA">
      <w:pPr>
        <w:pStyle w:val="5"/>
      </w:pPr>
      <w:r>
        <w:rPr>
          <w:rFonts w:ascii="宋体" w:hAnsi="宋体" w:eastAsia="宋体"/>
        </w:rPr>
        <w:t>2.6.4 项目完整文件结构</w:t>
      </w:r>
    </w:p>
    <w:p w14:paraId="07F09E8C">
      <w:r>
        <w:rPr>
          <w:rFonts w:ascii="宋体" w:hAnsi="宋体" w:eastAsia="宋体"/>
        </w:rPr>
        <w:t>项目共包含39个 Python 源文件、4个测试文件、16个原始CSV数据文件、4层Parquet数据、6个训练好的模型及可视化仪表板。</w:t>
      </w:r>
    </w:p>
    <w:p w14:paraId="4ED3CD60">
      <w:pPr>
        <w:jc w:val="center"/>
      </w:pPr>
      <w:r>
        <w:drawing>
          <wp:inline distT="0" distB="0" distL="114300" distR="114300">
            <wp:extent cx="5728335" cy="7038975"/>
            <wp:effectExtent l="0" t="0" r="5715" b="9525"/>
            <wp:docPr id="5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sz w:val="22"/>
        </w:rPr>
        <w:t xml:space="preserve">  </w:t>
      </w:r>
    </w:p>
    <w:p w14:paraId="54F2B95B">
      <w:pPr>
        <w:pStyle w:val="4"/>
      </w:pPr>
      <w:r>
        <w:rPr>
          <w:rFonts w:ascii="宋体" w:hAnsi="宋体" w:eastAsia="宋体"/>
        </w:rPr>
        <w:t>2.7 项目收获</w:t>
      </w:r>
    </w:p>
    <w:p w14:paraId="3CBAA437">
      <w:r>
        <w:rPr>
          <w:rFonts w:ascii="宋体" w:hAnsi="宋体" w:eastAsia="宋体"/>
        </w:rPr>
        <w:t>通过本自主实践项目的完整实施，获得了以下核心能力提升：</w:t>
      </w:r>
    </w:p>
    <w:p w14:paraId="04C958B6">
      <w:pPr>
        <w:pStyle w:val="16"/>
      </w:pPr>
      <w:r>
        <w:rPr>
          <w:rFonts w:ascii="宋体" w:hAnsi="宋体" w:eastAsia="宋体"/>
        </w:rPr>
        <w:t>掌握了 PySpark 分布式数据处理的全流程：从多源CSV的批量摄入，到Medallion Architecture的分层数据治理，再到PySpark MLlib的分布式模型训练。</w:t>
      </w:r>
    </w:p>
    <w:p w14:paraId="72666F42">
      <w:pPr>
        <w:pStyle w:val="16"/>
      </w:pPr>
      <w:r>
        <w:rPr>
          <w:rFonts w:ascii="宋体" w:hAnsi="宋体" w:eastAsia="宋体"/>
        </w:rPr>
        <w:t>理解了 MLOps 全链路：从原始数据到API服务的完整机器学习工程流程。</w:t>
      </w:r>
    </w:p>
    <w:p w14:paraId="72BF6DC1">
      <w:pPr>
        <w:pStyle w:val="16"/>
      </w:pPr>
      <w:r>
        <w:rPr>
          <w:rFonts w:ascii="宋体" w:hAnsi="宋体" w:eastAsia="宋体"/>
        </w:rPr>
        <w:t>实践了贝叶斯超参数优化：使用Hyperopt的TPE算法替代传统的网格搜索。</w:t>
      </w:r>
    </w:p>
    <w:p w14:paraId="5B1E2016">
      <w:pPr>
        <w:pStyle w:val="16"/>
      </w:pPr>
      <w:r>
        <w:rPr>
          <w:rFonts w:ascii="宋体" w:hAnsi="宋体" w:eastAsia="宋体"/>
        </w:rPr>
        <w:t>设计了可解释的动态定价策略：深刻理解了 数据驱动决策 的本质 -- 不是让模型黑箱式地输出定价，而是用模型准确预测供需，再用可解释的规则引擎推导定价。</w:t>
      </w:r>
    </w:p>
    <w:p w14:paraId="606B8169">
      <w:pPr>
        <w:pStyle w:val="16"/>
      </w:pPr>
      <w:r>
        <w:rPr>
          <w:rFonts w:ascii="宋体" w:hAnsi="宋体" w:eastAsia="宋体"/>
        </w:rPr>
        <w:t>体验了数据产品化的完整过程：一个商业分析师的核心价值在于 将数据转化为决策建议，将决策建议转化为可用的产品。</w:t>
      </w:r>
    </w:p>
    <w:p w14:paraId="78A0CA25">
      <w:pPr>
        <w:pStyle w:val="16"/>
        <w:numPr>
          <w:ilvl w:val="0"/>
          <w:numId w:val="0"/>
        </w:numPr>
        <w:ind w:leftChars="0"/>
      </w:pPr>
    </w:p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0xProto Nerd Font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0xProto Nerd Font Mono">
    <w:panose1 w:val="02000009000000000000"/>
    <w:charset w:val="00"/>
    <w:family w:val="auto"/>
    <w:pitch w:val="default"/>
    <w:sig w:usb0="A10000FF" w:usb1="0000084A" w:usb2="00000008" w:usb3="00000000" w:csb0="00000193" w:csb1="CD4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651786"/>
    <w:rsid w:val="0F6634D4"/>
    <w:rsid w:val="13F262E4"/>
    <w:rsid w:val="16FA381A"/>
    <w:rsid w:val="27F122F7"/>
    <w:rsid w:val="28EF53ED"/>
    <w:rsid w:val="36405F7D"/>
    <w:rsid w:val="374C19CF"/>
    <w:rsid w:val="39A52748"/>
    <w:rsid w:val="3F335B02"/>
    <w:rsid w:val="4C5A2C8D"/>
    <w:rsid w:val="59180E7E"/>
    <w:rsid w:val="5A295BAD"/>
    <w:rsid w:val="68774F7F"/>
    <w:rsid w:val="6E360901"/>
    <w:rsid w:val="75BE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360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numbering" Target="numbering.xml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7160</Words>
  <Characters>9672</Characters>
  <Lines>0</Lines>
  <Paragraphs>0</Paragraphs>
  <TotalTime>26</TotalTime>
  <ScaleCrop>false</ScaleCrop>
  <LinksUpToDate>false</LinksUpToDate>
  <CharactersWithSpaces>10073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/>
  <dc:description/>
  <cp:lastModifiedBy/>
  <dcterms:modified xsi:type="dcterms:W3CDTF">2026-08-25T15:20:22Z</dcterms:modified>
  <cp:revision>1</cp:revision>
</cp:coreProperties>
</file>